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E8" w:rsidRDefault="005473E8" w:rsidP="005473E8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393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еречень индикаторов риска нарушения обязательных требований </w:t>
      </w:r>
    </w:p>
    <w:p w:rsidR="005473E8" w:rsidRDefault="005473E8" w:rsidP="005473E8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gramStart"/>
      <w:r>
        <w:rPr>
          <w:b/>
          <w:sz w:val="28"/>
          <w:szCs w:val="28"/>
        </w:rPr>
        <w:t>муниципальному</w:t>
      </w:r>
      <w:proofErr w:type="gramEnd"/>
      <w:r>
        <w:rPr>
          <w:b/>
          <w:sz w:val="28"/>
          <w:szCs w:val="28"/>
        </w:rPr>
        <w:t xml:space="preserve"> земельному контроля на территории </w:t>
      </w:r>
    </w:p>
    <w:p w:rsidR="005473E8" w:rsidRPr="001C31B9" w:rsidRDefault="005473E8" w:rsidP="005473E8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 Саратовской области </w:t>
      </w:r>
    </w:p>
    <w:p w:rsidR="005473E8" w:rsidRDefault="005473E8" w:rsidP="005473E8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5473E8" w:rsidRDefault="005473E8" w:rsidP="005473E8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</w:t>
      </w:r>
      <w:r w:rsidRPr="000F28DA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0F2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Собрания Духовницкого муниципального района Саратовской области от 30 сентября 2021 года № 115/626 «Об утверждении </w:t>
      </w:r>
      <w:r w:rsidRPr="000F28DA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0F28DA">
        <w:rPr>
          <w:sz w:val="28"/>
          <w:szCs w:val="28"/>
        </w:rPr>
        <w:t xml:space="preserve"> о муниципальном земельном контроле на террито</w:t>
      </w:r>
      <w:r>
        <w:rPr>
          <w:sz w:val="28"/>
          <w:szCs w:val="28"/>
        </w:rPr>
        <w:t>рии Духовницкого муниципального контроля Саратовской области», р</w:t>
      </w:r>
      <w:r w:rsidRPr="000F28DA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0F28D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Собрания Духовницкого муниципального района Сара</w:t>
      </w:r>
      <w:r>
        <w:rPr>
          <w:sz w:val="28"/>
          <w:szCs w:val="28"/>
        </w:rPr>
        <w:t>товской области от 31 октября 2024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22/124</w:t>
      </w:r>
      <w:r>
        <w:rPr>
          <w:sz w:val="28"/>
          <w:szCs w:val="28"/>
        </w:rPr>
        <w:t xml:space="preserve"> «О внесении изменений в решение районного</w:t>
      </w:r>
      <w:r w:rsidRPr="00EE3B85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Духовницкого муниципального района Саратовской области от</w:t>
      </w:r>
      <w:proofErr w:type="gramEnd"/>
      <w:r>
        <w:rPr>
          <w:sz w:val="28"/>
          <w:szCs w:val="28"/>
        </w:rPr>
        <w:t xml:space="preserve"> 30 сентября 2021 года № 115/626 «Об утверждении </w:t>
      </w:r>
      <w:r w:rsidRPr="000F28DA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0F28DA">
        <w:rPr>
          <w:sz w:val="28"/>
          <w:szCs w:val="28"/>
        </w:rPr>
        <w:t xml:space="preserve"> о муниципальном земельном контроле на террито</w:t>
      </w:r>
      <w:r>
        <w:rPr>
          <w:sz w:val="28"/>
          <w:szCs w:val="28"/>
        </w:rPr>
        <w:t xml:space="preserve">рии Духовницкого муниципального контроля Саратовской области», </w:t>
      </w:r>
      <w:r w:rsidRPr="00EE3B85">
        <w:rPr>
          <w:b/>
          <w:sz w:val="28"/>
          <w:szCs w:val="28"/>
        </w:rPr>
        <w:t>индикаторами риска нарушения обязательных требований по муниципальному земельному контролю являются</w:t>
      </w:r>
      <w:r w:rsidRPr="00FB11E0">
        <w:rPr>
          <w:sz w:val="28"/>
          <w:szCs w:val="28"/>
        </w:rPr>
        <w:t>: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- 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участок;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-несоответствие площади используемого юридическим лицом, индивидуальным предпринимателем, гражданином земельного участка, площади земельного участка, сведения о которой содержатся в Едином государственном реестре недвижимости;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-отклонение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значение точности (средней </w:t>
      </w:r>
      <w:proofErr w:type="spellStart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квадратической</w:t>
      </w:r>
      <w:proofErr w:type="spellEnd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 потребности)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года </w:t>
      </w:r>
      <w:proofErr w:type="gramStart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/0393;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-наличие информации о несоответствии использования юридическим лицом, индивидуальным предпринимателем, гражданином земельного участка виду разрешенного использования земельного участка, сведения о котором содержатся в Едином государственном реестре недвижимости;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-отсутствие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с даты</w:t>
      </w:r>
      <w:proofErr w:type="gramEnd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участка;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proofErr w:type="gramStart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-наличие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</w:t>
      </w:r>
      <w:r>
        <w:rPr>
          <w:rFonts w:ascii="PT Astra Serif" w:hAnsi="PT Astra Serif" w:cs="Arial"/>
          <w:color w:val="333333"/>
          <w:sz w:val="28"/>
          <w:szCs w:val="28"/>
          <w:lang w:eastAsia="ru-RU"/>
        </w:rPr>
        <w:lastRenderedPageBreak/>
        <w:t>которого регулируется Федеральным законом от 24 июля 2002 года № 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</w:t>
      </w:r>
      <w:proofErr w:type="gramEnd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 связи с неиспользованием по целевому назначению или использованием с нарушением законодательства Российской Федерации;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-наличие информации о загрязнении земельного участка отходами производства, отнесенными в соответствии с законодательством Российской Федерации к I и II классу опасности, о зарастании земельного участка сорной растительностью </w:t>
      </w:r>
      <w:proofErr w:type="gramStart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и(</w:t>
      </w:r>
      <w:proofErr w:type="gramEnd"/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или) древесно-кустарниковой растительностью, не относящейся к многолетним плодово-ягодным насаждениям, свидетельствующей о его неиспользовании для ведения сельскохозяйственного производства или осуществления иной, связанной с сельскохозяйственным производством, деятельности, на 25 и более процентов площади земельного участка;</w:t>
      </w:r>
    </w:p>
    <w:p w:rsidR="005473E8" w:rsidRDefault="005473E8" w:rsidP="005473E8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-наличие информации о признаках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потребления);</w:t>
      </w:r>
    </w:p>
    <w:p w:rsidR="00B9146F" w:rsidRDefault="005473E8" w:rsidP="005473E8">
      <w:r>
        <w:rPr>
          <w:rFonts w:ascii="PT Astra Serif" w:hAnsi="PT Astra Serif" w:cs="Arial"/>
          <w:color w:val="333333"/>
          <w:sz w:val="28"/>
          <w:szCs w:val="28"/>
          <w:lang w:eastAsia="ru-RU"/>
        </w:rPr>
        <w:t>-наличие на земельном участке специализированной техники, используемой для снятия и (или) перемещения плодородного слоя почвы.</w:t>
      </w:r>
    </w:p>
    <w:sectPr w:rsidR="00B9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3A"/>
    <w:rsid w:val="0007153A"/>
    <w:rsid w:val="005473E8"/>
    <w:rsid w:val="00B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Специалист4</cp:lastModifiedBy>
  <cp:revision>3</cp:revision>
  <dcterms:created xsi:type="dcterms:W3CDTF">2024-11-01T06:54:00Z</dcterms:created>
  <dcterms:modified xsi:type="dcterms:W3CDTF">2024-11-01T06:56:00Z</dcterms:modified>
</cp:coreProperties>
</file>